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18" w:rsidRPr="00604561" w:rsidRDefault="00E47387" w:rsidP="00840181">
      <w:pPr>
        <w:pStyle w:val="Titre"/>
        <w:jc w:val="both"/>
        <w:rPr>
          <w:b/>
        </w:rPr>
      </w:pPr>
      <w:r>
        <w:rPr>
          <w:noProof/>
        </w:rPr>
        <w:drawing>
          <wp:anchor distT="0" distB="0" distL="114300" distR="114300" simplePos="0" relativeHeight="251657728" behindDoc="0" locked="0" layoutInCell="1" allowOverlap="1">
            <wp:simplePos x="0" y="0"/>
            <wp:positionH relativeFrom="margin">
              <wp:posOffset>5561330</wp:posOffset>
            </wp:positionH>
            <wp:positionV relativeFrom="margin">
              <wp:posOffset>857250</wp:posOffset>
            </wp:positionV>
            <wp:extent cx="1227455" cy="1264920"/>
            <wp:effectExtent l="0" t="0" r="0" b="5080"/>
            <wp:wrapSquare wrapText="bothSides"/>
            <wp:docPr id="3" name="il_fi" descr="http://90.snuipp.fr/local/cache-vignettes/L98xH100/arton1213jpg7a67-b5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90.snuipp.fr/local/cache-vignettes/L98xH100/arton1213jpg7a67-b517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264920"/>
                    </a:xfrm>
                    <a:prstGeom prst="rect">
                      <a:avLst/>
                    </a:prstGeom>
                    <a:noFill/>
                  </pic:spPr>
                </pic:pic>
              </a:graphicData>
            </a:graphic>
            <wp14:sizeRelH relativeFrom="page">
              <wp14:pctWidth>0</wp14:pctWidth>
            </wp14:sizeRelH>
            <wp14:sizeRelV relativeFrom="page">
              <wp14:pctHeight>0</wp14:pctHeight>
            </wp14:sizeRelV>
          </wp:anchor>
        </w:drawing>
      </w:r>
      <w:r w:rsidR="00087418" w:rsidRPr="00604561">
        <w:rPr>
          <w:b/>
        </w:rPr>
        <w:t>Compte-</w:t>
      </w:r>
      <w:r w:rsidR="008F7C4E" w:rsidRPr="00604561">
        <w:rPr>
          <w:b/>
        </w:rPr>
        <w:t>rendu du</w:t>
      </w:r>
      <w:r w:rsidR="00087418" w:rsidRPr="00604561">
        <w:rPr>
          <w:b/>
        </w:rPr>
        <w:t xml:space="preserve"> C</w:t>
      </w:r>
      <w:r w:rsidR="008F7C4E" w:rsidRPr="00604561">
        <w:rPr>
          <w:b/>
        </w:rPr>
        <w:t>TS</w:t>
      </w:r>
      <w:r w:rsidR="00087418" w:rsidRPr="00604561">
        <w:rPr>
          <w:b/>
        </w:rPr>
        <w:t xml:space="preserve">D du </w:t>
      </w:r>
      <w:r w:rsidR="00A5116B">
        <w:rPr>
          <w:b/>
        </w:rPr>
        <w:t>29 janvier 2016</w:t>
      </w:r>
    </w:p>
    <w:p w:rsidR="00087418" w:rsidRDefault="00087418" w:rsidP="00017F73">
      <w:pPr>
        <w:pStyle w:val="NormalWeb"/>
        <w:spacing w:before="0" w:beforeAutospacing="0" w:after="0" w:afterAutospacing="0"/>
        <w:jc w:val="both"/>
        <w:rPr>
          <w:rFonts w:ascii="Calibri" w:hAnsi="Calibri" w:cs="Lucida Grande"/>
          <w:color w:val="333333"/>
          <w:sz w:val="24"/>
          <w:szCs w:val="24"/>
        </w:rPr>
      </w:pPr>
      <w:r w:rsidRPr="004878D9">
        <w:rPr>
          <w:rFonts w:ascii="Calibri" w:hAnsi="Calibri" w:cs="Lucida Grande"/>
          <w:color w:val="333333"/>
          <w:sz w:val="24"/>
          <w:szCs w:val="24"/>
        </w:rPr>
        <w:t xml:space="preserve">Compte-rendu des délégués des personnels </w:t>
      </w:r>
      <w:r w:rsidR="0054625B">
        <w:rPr>
          <w:rFonts w:ascii="Calibri" w:hAnsi="Calibri" w:cs="Lucida Grande"/>
          <w:color w:val="333333"/>
          <w:sz w:val="24"/>
          <w:szCs w:val="24"/>
        </w:rPr>
        <w:t xml:space="preserve">de la </w:t>
      </w:r>
      <w:r w:rsidRPr="004878D9">
        <w:rPr>
          <w:rFonts w:ascii="Calibri" w:hAnsi="Calibri" w:cs="Lucida Grande"/>
          <w:color w:val="333333"/>
          <w:sz w:val="24"/>
          <w:szCs w:val="24"/>
        </w:rPr>
        <w:t>FSU au CTSD</w:t>
      </w:r>
    </w:p>
    <w:p w:rsidR="00087418" w:rsidRPr="004878D9" w:rsidRDefault="00087418" w:rsidP="00017F73">
      <w:pPr>
        <w:pStyle w:val="NormalWeb"/>
        <w:spacing w:before="0" w:beforeAutospacing="0" w:after="0" w:afterAutospacing="0"/>
        <w:jc w:val="both"/>
        <w:rPr>
          <w:rFonts w:ascii="Calibri" w:hAnsi="Calibri" w:cs="Lucida Grande"/>
          <w:color w:val="333333"/>
          <w:sz w:val="24"/>
          <w:szCs w:val="24"/>
        </w:rPr>
      </w:pPr>
      <w:r w:rsidRPr="004878D9">
        <w:rPr>
          <w:rFonts w:ascii="Calibri" w:hAnsi="Calibri" w:cs="Lucida Grande"/>
          <w:color w:val="333333"/>
          <w:sz w:val="24"/>
          <w:szCs w:val="24"/>
        </w:rPr>
        <w:t>Déclaration préalable de la FSU (voir document joint)</w:t>
      </w:r>
      <w:r w:rsidR="007D267A">
        <w:rPr>
          <w:rFonts w:ascii="Calibri" w:hAnsi="Calibri" w:cs="Lucida Grande"/>
          <w:color w:val="333333"/>
          <w:sz w:val="24"/>
          <w:szCs w:val="24"/>
        </w:rPr>
        <w:t>, de l’UNSA, de la FNEC-FP-FO</w:t>
      </w:r>
    </w:p>
    <w:p w:rsidR="00087418" w:rsidRPr="004878D9" w:rsidRDefault="00087418" w:rsidP="00017F73">
      <w:pPr>
        <w:jc w:val="both"/>
        <w:rPr>
          <w:b/>
          <w:sz w:val="24"/>
          <w:szCs w:val="24"/>
        </w:rPr>
      </w:pPr>
      <w:r w:rsidRPr="004878D9">
        <w:rPr>
          <w:b/>
          <w:sz w:val="24"/>
          <w:szCs w:val="24"/>
          <w:u w:val="single"/>
        </w:rPr>
        <w:t>Ordre du jour</w:t>
      </w:r>
      <w:r w:rsidRPr="004878D9">
        <w:rPr>
          <w:b/>
          <w:sz w:val="24"/>
          <w:szCs w:val="24"/>
        </w:rPr>
        <w:t> :</w:t>
      </w:r>
    </w:p>
    <w:p w:rsidR="00A5116B" w:rsidRDefault="00A5116B" w:rsidP="00017F73">
      <w:pPr>
        <w:pStyle w:val="Paragraphedeliste"/>
        <w:numPr>
          <w:ilvl w:val="0"/>
          <w:numId w:val="2"/>
        </w:numPr>
        <w:jc w:val="both"/>
        <w:rPr>
          <w:rFonts w:ascii="Calibri" w:hAnsi="Calibri"/>
        </w:rPr>
      </w:pPr>
      <w:r>
        <w:rPr>
          <w:rFonts w:ascii="Calibri" w:hAnsi="Calibri"/>
        </w:rPr>
        <w:t>Préparation de la carte scolaire 2</w:t>
      </w:r>
      <w:r w:rsidRPr="00A5116B">
        <w:rPr>
          <w:rFonts w:ascii="Calibri" w:hAnsi="Calibri"/>
          <w:vertAlign w:val="superscript"/>
        </w:rPr>
        <w:t>nd</w:t>
      </w:r>
      <w:r>
        <w:rPr>
          <w:rFonts w:ascii="Calibri" w:hAnsi="Calibri"/>
        </w:rPr>
        <w:t xml:space="preserve"> degré</w:t>
      </w:r>
    </w:p>
    <w:p w:rsidR="0054625B" w:rsidRPr="00A5116B" w:rsidRDefault="0054625B" w:rsidP="00017F73">
      <w:pPr>
        <w:pStyle w:val="Paragraphedeliste"/>
        <w:numPr>
          <w:ilvl w:val="0"/>
          <w:numId w:val="2"/>
        </w:numPr>
        <w:jc w:val="both"/>
        <w:rPr>
          <w:rFonts w:ascii="Calibri" w:hAnsi="Calibri"/>
        </w:rPr>
      </w:pPr>
      <w:r w:rsidRPr="00A5116B">
        <w:rPr>
          <w:rFonts w:ascii="Calibri" w:hAnsi="Calibri"/>
        </w:rPr>
        <w:t>Questions diverses</w:t>
      </w:r>
    </w:p>
    <w:p w:rsidR="00B3439A" w:rsidRDefault="00B3439A" w:rsidP="00017F73">
      <w:pPr>
        <w:pStyle w:val="Paragraphedeliste"/>
        <w:ind w:left="0"/>
        <w:jc w:val="both"/>
        <w:rPr>
          <w:rFonts w:ascii="Calibri" w:hAnsi="Calibri"/>
        </w:rPr>
      </w:pPr>
    </w:p>
    <w:p w:rsidR="00B3439A" w:rsidRDefault="00B3439A" w:rsidP="00017F73">
      <w:pPr>
        <w:rPr>
          <w:sz w:val="24"/>
          <w:szCs w:val="24"/>
        </w:rPr>
      </w:pPr>
      <w:r>
        <w:rPr>
          <w:sz w:val="24"/>
          <w:szCs w:val="24"/>
        </w:rPr>
        <w:t>L’IA a apporté des précisions et réponses aux déclarations préalables des organisations syndicales :</w:t>
      </w:r>
    </w:p>
    <w:p w:rsidR="00B3439A" w:rsidRPr="00CC0B34" w:rsidRDefault="00A5116B" w:rsidP="00017F73">
      <w:pPr>
        <w:pStyle w:val="Paragraphedeliste"/>
        <w:numPr>
          <w:ilvl w:val="0"/>
          <w:numId w:val="9"/>
        </w:numPr>
        <w:jc w:val="both"/>
        <w:rPr>
          <w:rFonts w:ascii="Calibri" w:hAnsi="Calibri"/>
        </w:rPr>
      </w:pPr>
      <w:r>
        <w:rPr>
          <w:rFonts w:ascii="Calibri" w:hAnsi="Calibri"/>
        </w:rPr>
        <w:t>Concernant les formations en lien avec la réforme du collège : le secréta</w:t>
      </w:r>
      <w:r>
        <w:rPr>
          <w:rFonts w:ascii="Calibri" w:hAnsi="Calibri"/>
        </w:rPr>
        <w:tab/>
        <w:t>ire générale académique a indiqué que les convocations étaient conformes à l’organisation de la formation continue (2 mercredis en partie sur le temps scolaire).</w:t>
      </w:r>
    </w:p>
    <w:p w:rsidR="00B3439A" w:rsidRDefault="00B3439A" w:rsidP="00017F73">
      <w:pPr>
        <w:pStyle w:val="Paragraphedeliste"/>
        <w:numPr>
          <w:ilvl w:val="0"/>
          <w:numId w:val="9"/>
        </w:numPr>
        <w:jc w:val="both"/>
        <w:rPr>
          <w:rFonts w:ascii="Calibri" w:hAnsi="Calibri"/>
        </w:rPr>
      </w:pPr>
      <w:r w:rsidRPr="00CC0B34">
        <w:rPr>
          <w:rFonts w:ascii="Calibri" w:hAnsi="Calibri"/>
        </w:rPr>
        <w:t xml:space="preserve">Concernant </w:t>
      </w:r>
      <w:r w:rsidR="00A5116B">
        <w:rPr>
          <w:rFonts w:ascii="Calibri" w:hAnsi="Calibri"/>
        </w:rPr>
        <w:t>les AED du lycée Paul Langevin, 73 ont eu un trop-perçu de 410 €, les autres de moins de 400€, 12 n’ont eu aucun trop-perçu. Un étalement du remboursement a été proposé à chaque AED. Un courrier leur a été envoyé présentant les excuses de l’établissement pour cette erreur, leur indiquant le montant du trop-perçu qu’ils doivent rembourser ainsi que la possibilité de le régler de manière échelonnée (sur 5, 8, 11 mois). Un prélèvement de 5 € a été fait sur le mois de janvier pour débuter le remboursement. Les AED sont orientés vers les AS si besoin. Sur la paye de janvier le SFT n’a pas été versé. Les chefs d’établissements ont été informés. Cette erreur sera rectifiée dans la semaine qui vient.</w:t>
      </w:r>
    </w:p>
    <w:p w:rsidR="00A5116B" w:rsidRDefault="00A5116B" w:rsidP="00017F73">
      <w:pPr>
        <w:pStyle w:val="Paragraphedeliste"/>
        <w:numPr>
          <w:ilvl w:val="0"/>
          <w:numId w:val="9"/>
        </w:numPr>
        <w:jc w:val="both"/>
        <w:rPr>
          <w:rFonts w:ascii="Calibri" w:hAnsi="Calibri"/>
        </w:rPr>
      </w:pPr>
      <w:r>
        <w:rPr>
          <w:rFonts w:ascii="Calibri" w:hAnsi="Calibri"/>
        </w:rPr>
        <w:t>Postes de PE-éducateurs en internat : pas de suppression franche de postes mais certains relèvent des missions de personnels enseignants et d’autres non. Une information sera faite au prochain CTSD.</w:t>
      </w:r>
    </w:p>
    <w:p w:rsidR="00BF221B" w:rsidRPr="00CC0B34" w:rsidRDefault="00BF221B" w:rsidP="00017F73">
      <w:pPr>
        <w:pStyle w:val="Paragraphedeliste"/>
        <w:numPr>
          <w:ilvl w:val="0"/>
          <w:numId w:val="9"/>
        </w:numPr>
        <w:jc w:val="both"/>
        <w:rPr>
          <w:rFonts w:ascii="Calibri" w:hAnsi="Calibri"/>
        </w:rPr>
      </w:pPr>
      <w:r>
        <w:rPr>
          <w:rFonts w:ascii="Calibri" w:hAnsi="Calibri"/>
        </w:rPr>
        <w:t xml:space="preserve">Classes </w:t>
      </w:r>
      <w:proofErr w:type="spellStart"/>
      <w:r>
        <w:rPr>
          <w:rFonts w:ascii="Calibri" w:hAnsi="Calibri"/>
        </w:rPr>
        <w:t>bilangues</w:t>
      </w:r>
      <w:proofErr w:type="spellEnd"/>
      <w:r>
        <w:rPr>
          <w:rFonts w:ascii="Calibri" w:hAnsi="Calibri"/>
        </w:rPr>
        <w:t xml:space="preserve"> : La  carte est académique et la DGH par établissement. Il y a 49 </w:t>
      </w:r>
      <w:proofErr w:type="spellStart"/>
      <w:r>
        <w:rPr>
          <w:rFonts w:ascii="Calibri" w:hAnsi="Calibri"/>
        </w:rPr>
        <w:t>bilangues</w:t>
      </w:r>
      <w:proofErr w:type="spellEnd"/>
      <w:r>
        <w:rPr>
          <w:rFonts w:ascii="Calibri" w:hAnsi="Calibri"/>
        </w:rPr>
        <w:t xml:space="preserve"> : 45 anglais/allemand, 2 anglais/portugais, 2 anglais/arabe littéraire. Demande de projet local : collège et école du secteur (lien IEN-chef d’établissement). Les professeurs de collège seront sollicités pour enseigner dans </w:t>
      </w:r>
      <w:proofErr w:type="gramStart"/>
      <w:r>
        <w:rPr>
          <w:rFonts w:ascii="Calibri" w:hAnsi="Calibri"/>
        </w:rPr>
        <w:t>la</w:t>
      </w:r>
      <w:proofErr w:type="gramEnd"/>
      <w:r>
        <w:rPr>
          <w:rFonts w:ascii="Calibri" w:hAnsi="Calibri"/>
        </w:rPr>
        <w:t xml:space="preserve"> 1</w:t>
      </w:r>
      <w:r w:rsidRPr="00BF221B">
        <w:rPr>
          <w:rFonts w:ascii="Calibri" w:hAnsi="Calibri"/>
          <w:vertAlign w:val="superscript"/>
        </w:rPr>
        <w:t>er</w:t>
      </w:r>
      <w:r>
        <w:rPr>
          <w:rFonts w:ascii="Calibri" w:hAnsi="Calibri"/>
        </w:rPr>
        <w:t xml:space="preserve"> degré mais sur la base du volontariat (rémunération en heures sup au-delà des heures de service). Certaines classes primaires suivront une initiation à l’allemand au retour des vacances de février. L’objectif est de trouver des dispositifs qui tiennent dans le temps en lien avec une dynamique de projet.</w:t>
      </w:r>
    </w:p>
    <w:p w:rsidR="00DC6A70" w:rsidRDefault="00BF221B" w:rsidP="00840181">
      <w:pPr>
        <w:pStyle w:val="Titre1"/>
        <w:numPr>
          <w:ilvl w:val="0"/>
          <w:numId w:val="3"/>
        </w:numPr>
        <w:jc w:val="both"/>
        <w:rPr>
          <w:color w:val="auto"/>
          <w:sz w:val="36"/>
          <w:szCs w:val="36"/>
        </w:rPr>
      </w:pPr>
      <w:r>
        <w:rPr>
          <w:color w:val="auto"/>
          <w:sz w:val="36"/>
          <w:szCs w:val="36"/>
        </w:rPr>
        <w:t>Préparation carte scolaire</w:t>
      </w:r>
      <w:r w:rsidR="0054625B">
        <w:rPr>
          <w:color w:val="auto"/>
          <w:sz w:val="36"/>
          <w:szCs w:val="36"/>
        </w:rPr>
        <w:t xml:space="preserve"> 2</w:t>
      </w:r>
      <w:r w:rsidR="0054625B" w:rsidRPr="0054625B">
        <w:rPr>
          <w:color w:val="auto"/>
          <w:sz w:val="36"/>
          <w:szCs w:val="36"/>
          <w:vertAlign w:val="superscript"/>
        </w:rPr>
        <w:t>nd</w:t>
      </w:r>
      <w:r>
        <w:rPr>
          <w:color w:val="auto"/>
          <w:sz w:val="36"/>
          <w:szCs w:val="36"/>
        </w:rPr>
        <w:t xml:space="preserve"> degré</w:t>
      </w:r>
    </w:p>
    <w:p w:rsidR="00BF221B" w:rsidRPr="00BF221B" w:rsidRDefault="00BF221B" w:rsidP="00BF221B">
      <w:pPr>
        <w:rPr>
          <w:lang w:eastAsia="fr-FR"/>
        </w:rPr>
      </w:pPr>
    </w:p>
    <w:p w:rsidR="00BF221B" w:rsidRDefault="00BF221B" w:rsidP="00BF221B">
      <w:pPr>
        <w:rPr>
          <w:lang w:eastAsia="fr-FR"/>
        </w:rPr>
      </w:pPr>
      <w:r>
        <w:rPr>
          <w:lang w:eastAsia="fr-FR"/>
        </w:rPr>
        <w:t>L’an dernier il y a – 315 élèves répartis sur les différents niveaux : + 36 en 6</w:t>
      </w:r>
      <w:r w:rsidRPr="00BF221B">
        <w:rPr>
          <w:vertAlign w:val="superscript"/>
          <w:lang w:eastAsia="fr-FR"/>
        </w:rPr>
        <w:t>ème</w:t>
      </w:r>
      <w:r>
        <w:rPr>
          <w:lang w:eastAsia="fr-FR"/>
        </w:rPr>
        <w:t>, -268 en 5</w:t>
      </w:r>
      <w:r w:rsidRPr="00BF221B">
        <w:rPr>
          <w:vertAlign w:val="superscript"/>
          <w:lang w:eastAsia="fr-FR"/>
        </w:rPr>
        <w:t>ème</w:t>
      </w:r>
      <w:r>
        <w:rPr>
          <w:lang w:eastAsia="fr-FR"/>
        </w:rPr>
        <w:t>, -143 en 4</w:t>
      </w:r>
      <w:r w:rsidRPr="00BF221B">
        <w:rPr>
          <w:vertAlign w:val="superscript"/>
          <w:lang w:eastAsia="fr-FR"/>
        </w:rPr>
        <w:t>ème</w:t>
      </w:r>
      <w:r>
        <w:rPr>
          <w:lang w:eastAsia="fr-FR"/>
        </w:rPr>
        <w:t>, + 138 en 3</w:t>
      </w:r>
      <w:r w:rsidRPr="00BF221B">
        <w:rPr>
          <w:vertAlign w:val="superscript"/>
          <w:lang w:eastAsia="fr-FR"/>
        </w:rPr>
        <w:t>ème</w:t>
      </w:r>
      <w:r>
        <w:rPr>
          <w:lang w:eastAsia="fr-FR"/>
        </w:rPr>
        <w:t xml:space="preserve"> (difficile à expliquer).</w:t>
      </w:r>
    </w:p>
    <w:p w:rsidR="00D67AAD" w:rsidRDefault="00BF221B" w:rsidP="00BF221B">
      <w:pPr>
        <w:rPr>
          <w:lang w:eastAsia="fr-FR"/>
        </w:rPr>
      </w:pPr>
      <w:r>
        <w:rPr>
          <w:lang w:eastAsia="fr-FR"/>
        </w:rPr>
        <w:t xml:space="preserve">De prévision à prévision : - 378 </w:t>
      </w:r>
      <w:r w:rsidR="00D67AAD">
        <w:rPr>
          <w:lang w:eastAsia="fr-FR"/>
        </w:rPr>
        <w:t xml:space="preserve">(35 765 à 35 300). </w:t>
      </w:r>
    </w:p>
    <w:p w:rsidR="00D67AAD" w:rsidRDefault="00D67AAD" w:rsidP="00BF221B">
      <w:pPr>
        <w:rPr>
          <w:lang w:eastAsia="fr-FR"/>
        </w:rPr>
      </w:pPr>
    </w:p>
    <w:p w:rsidR="00BF221B" w:rsidRDefault="00D67AAD" w:rsidP="00BF221B">
      <w:pPr>
        <w:rPr>
          <w:lang w:eastAsia="fr-FR"/>
        </w:rPr>
      </w:pPr>
      <w:r>
        <w:rPr>
          <w:lang w:eastAsia="fr-FR"/>
        </w:rPr>
        <w:t xml:space="preserve">La proposition de dotation ministérielle de + 60 postes pour les collèges et lycées tient compte des critères démographiques mais aussi des caractéristiques sociales du département (secteurs défavorisés). Pour l’Oise les 4,5 ETP seront fléchés pour l’accueil des élèves en situation de handicap (2 ouverture d’ULIS  après une réflexion préalable avec les équipes sur les lieux d’implantation). 0,5 ETP seront attribués à un poste de conseiller de prévention et ce qui reste pour la mise en place des classes </w:t>
      </w:r>
      <w:proofErr w:type="spellStart"/>
      <w:r>
        <w:rPr>
          <w:lang w:eastAsia="fr-FR"/>
        </w:rPr>
        <w:t>bilangues</w:t>
      </w:r>
      <w:proofErr w:type="spellEnd"/>
      <w:r>
        <w:rPr>
          <w:lang w:eastAsia="fr-FR"/>
        </w:rPr>
        <w:t>.</w:t>
      </w:r>
    </w:p>
    <w:p w:rsidR="00D67AAD" w:rsidRDefault="00D67AAD" w:rsidP="00BF221B">
      <w:pPr>
        <w:rPr>
          <w:lang w:eastAsia="fr-FR"/>
        </w:rPr>
      </w:pPr>
    </w:p>
    <w:p w:rsidR="00D67AAD" w:rsidRDefault="00D67AAD" w:rsidP="00BF221B">
      <w:pPr>
        <w:rPr>
          <w:lang w:eastAsia="fr-FR"/>
        </w:rPr>
      </w:pPr>
      <w:r>
        <w:rPr>
          <w:lang w:eastAsia="fr-FR"/>
        </w:rPr>
        <w:t>DGH globale : 49 364 HP (contre 49 277  en 2015 et 49 246 en 2014).</w:t>
      </w:r>
    </w:p>
    <w:p w:rsidR="00D67AAD" w:rsidRDefault="00D67AAD" w:rsidP="00BF221B">
      <w:pPr>
        <w:rPr>
          <w:lang w:eastAsia="fr-FR"/>
        </w:rPr>
      </w:pPr>
    </w:p>
    <w:p w:rsidR="00D67AAD" w:rsidRDefault="00D67AAD" w:rsidP="00BF221B">
      <w:pPr>
        <w:rPr>
          <w:lang w:eastAsia="fr-FR"/>
        </w:rPr>
      </w:pPr>
      <w:r>
        <w:rPr>
          <w:lang w:eastAsia="fr-FR"/>
        </w:rPr>
        <w:t>Répartition des DGH : la base de calcul est de 30 élèves par division. Dotation basée sur 26H00 élève. Les EPI viennent sur ces 26H00. Les EPI traitent des disciplines mais de</w:t>
      </w:r>
      <w:r w:rsidR="00196FE5">
        <w:rPr>
          <w:lang w:eastAsia="fr-FR"/>
        </w:rPr>
        <w:t xml:space="preserve"> manière interdisciplinaire. L</w:t>
      </w:r>
      <w:r>
        <w:rPr>
          <w:lang w:eastAsia="fr-FR"/>
        </w:rPr>
        <w:t>es</w:t>
      </w:r>
      <w:r w:rsidR="00196FE5">
        <w:rPr>
          <w:lang w:eastAsia="fr-FR"/>
        </w:rPr>
        <w:t xml:space="preserve"> ARE (activités à responsabilité d’établissement)</w:t>
      </w:r>
      <w:r>
        <w:rPr>
          <w:lang w:eastAsia="fr-FR"/>
        </w:rPr>
        <w:t xml:space="preserve"> seront rémunérées en IMP et d’autres en HP.</w:t>
      </w:r>
    </w:p>
    <w:p w:rsidR="00D67AAD" w:rsidRDefault="00D67AAD" w:rsidP="00BF221B">
      <w:pPr>
        <w:rPr>
          <w:lang w:eastAsia="fr-FR"/>
        </w:rPr>
      </w:pPr>
    </w:p>
    <w:p w:rsidR="00D67AAD" w:rsidRDefault="00D67AAD" w:rsidP="00BF221B">
      <w:pPr>
        <w:rPr>
          <w:lang w:eastAsia="fr-FR"/>
        </w:rPr>
      </w:pPr>
      <w:r>
        <w:rPr>
          <w:lang w:eastAsia="fr-FR"/>
        </w:rPr>
        <w:lastRenderedPageBreak/>
        <w:t>Part d’autonomie : 2H45 par division (3H00 en 2017) appliquée à tous les établissements en fonction du nombre de divisions. En éducation prioritaire, les effectifs pris en compte</w:t>
      </w:r>
      <w:r w:rsidR="0091743A">
        <w:rPr>
          <w:lang w:eastAsia="fr-FR"/>
        </w:rPr>
        <w:t xml:space="preserve"> sont de 25 élèves par division au lieu de 30. En REP + la pondération de 10% n’est pas intégrée aux DGH.</w:t>
      </w:r>
    </w:p>
    <w:p w:rsidR="0091743A" w:rsidRDefault="0091743A" w:rsidP="00BF221B">
      <w:pPr>
        <w:rPr>
          <w:lang w:eastAsia="fr-FR"/>
        </w:rPr>
      </w:pPr>
      <w:r>
        <w:rPr>
          <w:lang w:eastAsia="fr-FR"/>
        </w:rPr>
        <w:t xml:space="preserve">A effectifs constants, les moyens sont constants et </w:t>
      </w:r>
      <w:proofErr w:type="gramStart"/>
      <w:r>
        <w:rPr>
          <w:lang w:eastAsia="fr-FR"/>
        </w:rPr>
        <w:t>le H/E</w:t>
      </w:r>
      <w:proofErr w:type="gramEnd"/>
      <w:r>
        <w:rPr>
          <w:lang w:eastAsia="fr-FR"/>
        </w:rPr>
        <w:t xml:space="preserve"> est lissé. </w:t>
      </w:r>
    </w:p>
    <w:p w:rsidR="00196FE5" w:rsidRPr="00196FE5" w:rsidRDefault="00196FE5" w:rsidP="00BF221B">
      <w:pPr>
        <w:rPr>
          <w:lang w:eastAsia="fr-FR"/>
        </w:rPr>
      </w:pPr>
    </w:p>
    <w:p w:rsidR="00196FE5" w:rsidRPr="00196FE5" w:rsidRDefault="00196FE5" w:rsidP="00BF221B">
      <w:pPr>
        <w:rPr>
          <w:lang w:eastAsia="fr-FR"/>
        </w:rPr>
      </w:pPr>
      <w:r w:rsidRPr="00196FE5">
        <w:rPr>
          <w:lang w:eastAsia="fr-FR"/>
        </w:rPr>
        <w:t>Nombre de divisions :</w:t>
      </w:r>
    </w:p>
    <w:p w:rsidR="00196FE5" w:rsidRPr="00196FE5" w:rsidRDefault="00196FE5" w:rsidP="00196FE5">
      <w:pPr>
        <w:pStyle w:val="Paragraphedeliste"/>
        <w:numPr>
          <w:ilvl w:val="0"/>
          <w:numId w:val="12"/>
        </w:numPr>
        <w:rPr>
          <w:rFonts w:asciiTheme="minorHAnsi" w:hAnsiTheme="minorHAnsi"/>
          <w:sz w:val="22"/>
          <w:szCs w:val="22"/>
        </w:rPr>
      </w:pPr>
      <w:r w:rsidRPr="00196FE5">
        <w:rPr>
          <w:rFonts w:asciiTheme="minorHAnsi" w:hAnsiTheme="minorHAnsi"/>
          <w:sz w:val="22"/>
          <w:szCs w:val="22"/>
        </w:rPr>
        <w:t>En 2015 : 1409</w:t>
      </w:r>
    </w:p>
    <w:p w:rsidR="00196FE5" w:rsidRPr="00196FE5" w:rsidRDefault="00196FE5" w:rsidP="00196FE5">
      <w:pPr>
        <w:pStyle w:val="Paragraphedeliste"/>
        <w:numPr>
          <w:ilvl w:val="0"/>
          <w:numId w:val="12"/>
        </w:numPr>
        <w:rPr>
          <w:rFonts w:asciiTheme="minorHAnsi" w:hAnsiTheme="minorHAnsi"/>
          <w:sz w:val="22"/>
          <w:szCs w:val="22"/>
        </w:rPr>
      </w:pPr>
      <w:r w:rsidRPr="00196FE5">
        <w:rPr>
          <w:rFonts w:asciiTheme="minorHAnsi" w:hAnsiTheme="minorHAnsi"/>
          <w:sz w:val="22"/>
          <w:szCs w:val="22"/>
        </w:rPr>
        <w:t>En 2016 : 1410</w:t>
      </w:r>
    </w:p>
    <w:p w:rsidR="00196FE5" w:rsidRDefault="00196FE5" w:rsidP="00196FE5">
      <w:pPr>
        <w:rPr>
          <w:rFonts w:asciiTheme="minorHAnsi" w:hAnsiTheme="minorHAnsi"/>
        </w:rPr>
      </w:pPr>
    </w:p>
    <w:p w:rsidR="00196FE5" w:rsidRDefault="00196FE5" w:rsidP="00196FE5">
      <w:pPr>
        <w:rPr>
          <w:rFonts w:asciiTheme="minorHAnsi" w:hAnsiTheme="minorHAnsi"/>
        </w:rPr>
      </w:pPr>
      <w:r>
        <w:rPr>
          <w:rFonts w:asciiTheme="minorHAnsi" w:hAnsiTheme="minorHAnsi"/>
        </w:rPr>
        <w:t>E/D (élèves/division): 26,06 R2015, 26,33 R2016</w:t>
      </w:r>
    </w:p>
    <w:p w:rsidR="00196FE5" w:rsidRDefault="00196FE5" w:rsidP="00196FE5">
      <w:pPr>
        <w:rPr>
          <w:rFonts w:asciiTheme="minorHAnsi" w:hAnsiTheme="minorHAnsi"/>
        </w:rPr>
      </w:pPr>
      <w:r>
        <w:rPr>
          <w:rFonts w:asciiTheme="minorHAnsi" w:hAnsiTheme="minorHAnsi"/>
        </w:rPr>
        <w:t>H/E : 1,1732 R2015, 1,1817 R2016</w:t>
      </w:r>
    </w:p>
    <w:p w:rsidR="00196FE5" w:rsidRDefault="00196FE5" w:rsidP="00196FE5">
      <w:pPr>
        <w:rPr>
          <w:rFonts w:asciiTheme="minorHAnsi" w:hAnsiTheme="minorHAnsi"/>
        </w:rPr>
      </w:pPr>
    </w:p>
    <w:p w:rsidR="00196FE5" w:rsidRDefault="00196FE5" w:rsidP="00196FE5">
      <w:pPr>
        <w:rPr>
          <w:rFonts w:asciiTheme="minorHAnsi" w:hAnsiTheme="minorHAnsi"/>
        </w:rPr>
      </w:pPr>
      <w:r>
        <w:rPr>
          <w:rFonts w:asciiTheme="minorHAnsi" w:hAnsiTheme="minorHAnsi"/>
        </w:rPr>
        <w:t xml:space="preserve">En éducation prioritaire : </w:t>
      </w:r>
    </w:p>
    <w:p w:rsidR="00196FE5" w:rsidRDefault="00196FE5" w:rsidP="00196FE5">
      <w:pPr>
        <w:rPr>
          <w:rFonts w:asciiTheme="minorHAnsi" w:hAnsiTheme="minorHAnsi"/>
        </w:rPr>
      </w:pPr>
      <w:r>
        <w:rPr>
          <w:rFonts w:asciiTheme="minorHAnsi" w:hAnsiTheme="minorHAnsi"/>
        </w:rPr>
        <w:t>E/D baisse légèrement : 22,75 R2015, 22,50 R2016</w:t>
      </w:r>
    </w:p>
    <w:p w:rsidR="00196FE5" w:rsidRDefault="00196FE5" w:rsidP="00196FE5">
      <w:pPr>
        <w:rPr>
          <w:rFonts w:asciiTheme="minorHAnsi" w:hAnsiTheme="minorHAnsi"/>
        </w:rPr>
      </w:pPr>
      <w:r>
        <w:rPr>
          <w:rFonts w:asciiTheme="minorHAnsi" w:hAnsiTheme="minorHAnsi"/>
        </w:rPr>
        <w:t>H/E prévisionnel  (hors moyens pour la pondération) : 1,4368 R2015, 1,4049 R2016</w:t>
      </w:r>
    </w:p>
    <w:p w:rsidR="00196FE5" w:rsidRDefault="00196FE5" w:rsidP="00196FE5">
      <w:pPr>
        <w:rPr>
          <w:rFonts w:asciiTheme="minorHAnsi" w:hAnsiTheme="minorHAnsi"/>
        </w:rPr>
      </w:pPr>
    </w:p>
    <w:p w:rsidR="00196FE5" w:rsidRPr="00196FE5" w:rsidRDefault="00196FE5" w:rsidP="00196FE5">
      <w:pPr>
        <w:rPr>
          <w:rFonts w:asciiTheme="minorHAnsi" w:hAnsiTheme="minorHAnsi"/>
        </w:rPr>
      </w:pPr>
      <w:r>
        <w:rPr>
          <w:rFonts w:asciiTheme="minorHAnsi" w:hAnsiTheme="minorHAnsi"/>
        </w:rPr>
        <w:t>Des ajustements peuvent être p</w:t>
      </w:r>
      <w:r w:rsidR="00C66CA0">
        <w:rPr>
          <w:rFonts w:asciiTheme="minorHAnsi" w:hAnsiTheme="minorHAnsi"/>
        </w:rPr>
        <w:t>roposés par les établissements.</w:t>
      </w:r>
    </w:p>
    <w:p w:rsidR="00D67AAD" w:rsidRDefault="00D67AAD" w:rsidP="00BF221B">
      <w:pPr>
        <w:rPr>
          <w:lang w:eastAsia="fr-FR"/>
        </w:rPr>
      </w:pPr>
    </w:p>
    <w:p w:rsidR="00D67AAD" w:rsidRDefault="00D67AAD" w:rsidP="00BF221B">
      <w:pPr>
        <w:rPr>
          <w:lang w:eastAsia="fr-FR"/>
        </w:rPr>
      </w:pPr>
      <w:r>
        <w:rPr>
          <w:lang w:eastAsia="fr-FR"/>
        </w:rPr>
        <w:t>Réforme des SEGPA : mise en place de la 6</w:t>
      </w:r>
      <w:r w:rsidRPr="00D67AAD">
        <w:rPr>
          <w:vertAlign w:val="superscript"/>
          <w:lang w:eastAsia="fr-FR"/>
        </w:rPr>
        <w:t>ème</w:t>
      </w:r>
      <w:r>
        <w:rPr>
          <w:lang w:eastAsia="fr-FR"/>
        </w:rPr>
        <w:t xml:space="preserve"> inclusive</w:t>
      </w:r>
      <w:r w:rsidR="0091743A">
        <w:rPr>
          <w:lang w:eastAsia="fr-FR"/>
        </w:rPr>
        <w:t xml:space="preserve">. </w:t>
      </w:r>
    </w:p>
    <w:p w:rsidR="0091743A" w:rsidRDefault="0091743A" w:rsidP="00BF221B">
      <w:pPr>
        <w:rPr>
          <w:lang w:eastAsia="fr-FR"/>
        </w:rPr>
      </w:pPr>
      <w:r>
        <w:rPr>
          <w:lang w:eastAsia="fr-FR"/>
        </w:rPr>
        <w:t>DGH basée sur 26H00 élève en 6</w:t>
      </w:r>
      <w:r w:rsidRPr="0091743A">
        <w:rPr>
          <w:vertAlign w:val="superscript"/>
          <w:lang w:eastAsia="fr-FR"/>
        </w:rPr>
        <w:t>ème</w:t>
      </w:r>
      <w:r>
        <w:rPr>
          <w:vertAlign w:val="superscript"/>
          <w:lang w:eastAsia="fr-FR"/>
        </w:rPr>
        <w:t xml:space="preserve"> </w:t>
      </w:r>
      <w:r>
        <w:rPr>
          <w:lang w:eastAsia="fr-FR"/>
        </w:rPr>
        <w:t>et 5</w:t>
      </w:r>
      <w:r w:rsidRPr="0091743A">
        <w:rPr>
          <w:vertAlign w:val="superscript"/>
          <w:lang w:eastAsia="fr-FR"/>
        </w:rPr>
        <w:t>ème</w:t>
      </w:r>
      <w:r>
        <w:rPr>
          <w:lang w:eastAsia="fr-FR"/>
        </w:rPr>
        <w:t>, 28H00 en 4</w:t>
      </w:r>
      <w:r w:rsidRPr="0091743A">
        <w:rPr>
          <w:vertAlign w:val="superscript"/>
          <w:lang w:eastAsia="fr-FR"/>
        </w:rPr>
        <w:t>ème</w:t>
      </w:r>
      <w:r>
        <w:rPr>
          <w:lang w:eastAsia="fr-FR"/>
        </w:rPr>
        <w:t>, 31H30 en 3</w:t>
      </w:r>
      <w:r w:rsidRPr="0091743A">
        <w:rPr>
          <w:vertAlign w:val="superscript"/>
          <w:lang w:eastAsia="fr-FR"/>
        </w:rPr>
        <w:t>ème</w:t>
      </w:r>
      <w:r>
        <w:rPr>
          <w:lang w:eastAsia="fr-FR"/>
        </w:rPr>
        <w:t xml:space="preserve"> (préparation à l’insertion professionnelle).</w:t>
      </w:r>
    </w:p>
    <w:p w:rsidR="0091743A" w:rsidRDefault="0091743A" w:rsidP="00BF221B">
      <w:pPr>
        <w:rPr>
          <w:lang w:eastAsia="fr-FR"/>
        </w:rPr>
      </w:pPr>
      <w:r>
        <w:rPr>
          <w:lang w:eastAsia="fr-FR"/>
        </w:rPr>
        <w:t xml:space="preserve">L’application du texte est la même dans les 3 départements mais la répartition HP/HSA est différente. Les heures attribuées aux SEGPA ont fait l’objet d’un arbitrage académique. La clé de répartition HP/HSA est de 5,68% R2016 au lieu de 5,75% R2015. Les dotations intègrent les besoins pour la mise en </w:t>
      </w:r>
      <w:proofErr w:type="spellStart"/>
      <w:r>
        <w:rPr>
          <w:lang w:eastAsia="fr-FR"/>
        </w:rPr>
        <w:t>oeuvre</w:t>
      </w:r>
      <w:proofErr w:type="spellEnd"/>
      <w:r>
        <w:rPr>
          <w:lang w:eastAsia="fr-FR"/>
        </w:rPr>
        <w:t xml:space="preserve">  de la réforme du collège plus importants que l’an dernier. </w:t>
      </w:r>
    </w:p>
    <w:p w:rsidR="0091743A" w:rsidRDefault="0091743A" w:rsidP="00BF221B">
      <w:pPr>
        <w:rPr>
          <w:lang w:eastAsia="fr-FR"/>
        </w:rPr>
      </w:pPr>
      <w:r>
        <w:rPr>
          <w:lang w:eastAsia="fr-FR"/>
        </w:rPr>
        <w:t>Les directeurs adjoints de SEGPA seront réunis après les vacances de février. 2 groupes de travail DGH ont déjà été réunis.</w:t>
      </w:r>
    </w:p>
    <w:p w:rsidR="0091743A" w:rsidRDefault="0091743A" w:rsidP="00BF221B">
      <w:pPr>
        <w:rPr>
          <w:lang w:eastAsia="fr-FR"/>
        </w:rPr>
      </w:pPr>
    </w:p>
    <w:p w:rsidR="0091743A" w:rsidRDefault="0091743A" w:rsidP="00BF221B">
      <w:pPr>
        <w:rPr>
          <w:lang w:eastAsia="fr-FR"/>
        </w:rPr>
      </w:pPr>
      <w:r>
        <w:rPr>
          <w:lang w:eastAsia="fr-FR"/>
        </w:rPr>
        <w:t>L’IEN ASH2 précise que si les dotations SEGPA sont fléchées, il y a parfois des arrangements internes dans l’intérêt du service. L’autonomie des établissements permet parfois de l’abonder. Dans l’Oise, nous donnions trop par rapport à la réglementation contrairement à l’Aisne ou la Somme.</w:t>
      </w:r>
    </w:p>
    <w:p w:rsidR="007D267A" w:rsidRPr="00F22146" w:rsidRDefault="007D267A" w:rsidP="00C66CA0">
      <w:pPr>
        <w:jc w:val="both"/>
        <w:rPr>
          <w:b/>
          <w:u w:val="single"/>
        </w:rPr>
      </w:pPr>
    </w:p>
    <w:p w:rsidR="009954B0" w:rsidRDefault="009954B0" w:rsidP="009954B0">
      <w:pPr>
        <w:ind w:firstLine="708"/>
        <w:jc w:val="both"/>
        <w:rPr>
          <w:b/>
          <w:sz w:val="36"/>
          <w:szCs w:val="36"/>
        </w:rPr>
      </w:pPr>
      <w:r w:rsidRPr="004878D9">
        <w:rPr>
          <w:b/>
          <w:sz w:val="36"/>
          <w:szCs w:val="36"/>
        </w:rPr>
        <w:t>2-</w:t>
      </w:r>
      <w:r w:rsidRPr="004878D9">
        <w:rPr>
          <w:b/>
          <w:sz w:val="28"/>
          <w:szCs w:val="28"/>
        </w:rPr>
        <w:t xml:space="preserve"> </w:t>
      </w:r>
      <w:r>
        <w:rPr>
          <w:b/>
          <w:sz w:val="36"/>
          <w:szCs w:val="36"/>
        </w:rPr>
        <w:t>Questions diverses</w:t>
      </w:r>
    </w:p>
    <w:p w:rsidR="00196FE5" w:rsidRDefault="00196FE5" w:rsidP="00196FE5">
      <w:pPr>
        <w:spacing w:after="200" w:line="276" w:lineRule="auto"/>
        <w:rPr>
          <w:rFonts w:asciiTheme="minorHAnsi" w:eastAsiaTheme="minorHAnsi" w:hAnsiTheme="minorHAnsi" w:cstheme="minorBidi"/>
        </w:rPr>
      </w:pPr>
      <w:r>
        <w:rPr>
          <w:rFonts w:asciiTheme="minorHAnsi" w:eastAsiaTheme="minorHAnsi" w:hAnsiTheme="minorHAnsi" w:cstheme="minorBidi"/>
        </w:rPr>
        <w:t>La FSU a réitéré sa demande d’information sur les moyens alloués à l’a</w:t>
      </w:r>
      <w:r w:rsidRPr="00196FE5">
        <w:rPr>
          <w:rFonts w:asciiTheme="minorHAnsi" w:eastAsiaTheme="minorHAnsi" w:hAnsiTheme="minorHAnsi" w:cstheme="minorBidi"/>
        </w:rPr>
        <w:t>ccompagnement éducatif </w:t>
      </w:r>
      <w:r>
        <w:rPr>
          <w:rFonts w:asciiTheme="minorHAnsi" w:eastAsiaTheme="minorHAnsi" w:hAnsiTheme="minorHAnsi" w:cstheme="minorBidi"/>
        </w:rPr>
        <w:t>à la rentrée 2015 (question déjà posée au CTSD de rentrée du 4 septembre 2015)</w:t>
      </w:r>
    </w:p>
    <w:p w:rsidR="00196FE5" w:rsidRDefault="00196FE5" w:rsidP="00196FE5">
      <w:pPr>
        <w:spacing w:after="200" w:line="276" w:lineRule="auto"/>
        <w:rPr>
          <w:rFonts w:asciiTheme="minorHAnsi" w:eastAsiaTheme="minorHAnsi" w:hAnsiTheme="minorHAnsi" w:cstheme="minorBidi"/>
        </w:rPr>
      </w:pPr>
      <w:r>
        <w:rPr>
          <w:rFonts w:asciiTheme="minorHAnsi" w:eastAsiaTheme="minorHAnsi" w:hAnsiTheme="minorHAnsi" w:cstheme="minorBidi"/>
        </w:rPr>
        <w:t>Elle demande également des précisions sur l</w:t>
      </w:r>
      <w:r w:rsidRPr="00196FE5">
        <w:rPr>
          <w:rFonts w:asciiTheme="minorHAnsi" w:eastAsiaTheme="minorHAnsi" w:hAnsiTheme="minorHAnsi" w:cstheme="minorBidi"/>
        </w:rPr>
        <w:t>e</w:t>
      </w:r>
      <w:r w:rsidR="00CC26BF">
        <w:rPr>
          <w:rFonts w:asciiTheme="minorHAnsi" w:eastAsiaTheme="minorHAnsi" w:hAnsiTheme="minorHAnsi" w:cstheme="minorBidi"/>
        </w:rPr>
        <w:t xml:space="preserve"> </w:t>
      </w:r>
      <w:r w:rsidRPr="00196FE5">
        <w:rPr>
          <w:rFonts w:asciiTheme="minorHAnsi" w:eastAsiaTheme="minorHAnsi" w:hAnsiTheme="minorHAnsi" w:cstheme="minorBidi"/>
        </w:rPr>
        <w:t>déploiement des moyens en termes d’aide administrative.</w:t>
      </w:r>
    </w:p>
    <w:p w:rsidR="00196FE5" w:rsidRPr="00196FE5" w:rsidRDefault="00196FE5" w:rsidP="00196FE5">
      <w:p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L’IA précise que des réponses seront apportées au </w:t>
      </w:r>
      <w:r w:rsidR="00C66CA0">
        <w:rPr>
          <w:rFonts w:asciiTheme="minorHAnsi" w:eastAsiaTheme="minorHAnsi" w:hAnsiTheme="minorHAnsi" w:cstheme="minorBidi"/>
        </w:rPr>
        <w:t>prochain CTSD (26 février).</w:t>
      </w:r>
    </w:p>
    <w:p w:rsidR="00B3439A" w:rsidRPr="00EA0603" w:rsidRDefault="00B3439A" w:rsidP="001C2200">
      <w:pPr>
        <w:jc w:val="both"/>
        <w:rPr>
          <w:sz w:val="24"/>
          <w:szCs w:val="24"/>
        </w:rPr>
      </w:pPr>
      <w:bookmarkStart w:id="0" w:name="_GoBack"/>
      <w:bookmarkEnd w:id="0"/>
    </w:p>
    <w:sectPr w:rsidR="00B3439A" w:rsidRPr="00EA0603" w:rsidSect="000874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D10"/>
    <w:multiLevelType w:val="hybridMultilevel"/>
    <w:tmpl w:val="63D8B808"/>
    <w:lvl w:ilvl="0" w:tplc="9A2AE8F4">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1273B0A"/>
    <w:multiLevelType w:val="hybridMultilevel"/>
    <w:tmpl w:val="4210E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C21557"/>
    <w:multiLevelType w:val="hybridMultilevel"/>
    <w:tmpl w:val="C812D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C67566"/>
    <w:multiLevelType w:val="hybridMultilevel"/>
    <w:tmpl w:val="BB426192"/>
    <w:lvl w:ilvl="0" w:tplc="B1267A5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A12991"/>
    <w:multiLevelType w:val="hybridMultilevel"/>
    <w:tmpl w:val="8D4E7C56"/>
    <w:lvl w:ilvl="0" w:tplc="B65450EA">
      <w:start w:val="5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97452D"/>
    <w:multiLevelType w:val="hybridMultilevel"/>
    <w:tmpl w:val="0F14E55A"/>
    <w:lvl w:ilvl="0" w:tplc="9CECB98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0D7EE3"/>
    <w:multiLevelType w:val="hybridMultilevel"/>
    <w:tmpl w:val="4A2CF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nsid w:val="5B1F6F15"/>
    <w:multiLevelType w:val="hybridMultilevel"/>
    <w:tmpl w:val="7C4CF5F6"/>
    <w:lvl w:ilvl="0" w:tplc="EE48F93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293B0A"/>
    <w:multiLevelType w:val="hybridMultilevel"/>
    <w:tmpl w:val="0C0C9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7774694C"/>
    <w:multiLevelType w:val="hybridMultilevel"/>
    <w:tmpl w:val="5C128EFE"/>
    <w:lvl w:ilvl="0" w:tplc="CADCCDF2">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78313CFE"/>
    <w:multiLevelType w:val="hybridMultilevel"/>
    <w:tmpl w:val="8B6E6CC2"/>
    <w:lvl w:ilvl="0" w:tplc="8FDEE3AA">
      <w:start w:val="5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287CCD"/>
    <w:multiLevelType w:val="hybridMultilevel"/>
    <w:tmpl w:val="22800C4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10"/>
  </w:num>
  <w:num w:numId="6">
    <w:abstractNumId w:val="3"/>
  </w:num>
  <w:num w:numId="7">
    <w:abstractNumId w:val="8"/>
  </w:num>
  <w:num w:numId="8">
    <w:abstractNumId w:val="11"/>
  </w:num>
  <w:num w:numId="9">
    <w:abstractNumId w:val="9"/>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12"/>
    <w:rsid w:val="00017F73"/>
    <w:rsid w:val="000272B7"/>
    <w:rsid w:val="000366C9"/>
    <w:rsid w:val="000532CC"/>
    <w:rsid w:val="00087418"/>
    <w:rsid w:val="000D1944"/>
    <w:rsid w:val="001107B5"/>
    <w:rsid w:val="00164F45"/>
    <w:rsid w:val="00173DDF"/>
    <w:rsid w:val="001931A8"/>
    <w:rsid w:val="00193A8A"/>
    <w:rsid w:val="00196FE5"/>
    <w:rsid w:val="001C2200"/>
    <w:rsid w:val="00236A0A"/>
    <w:rsid w:val="00253457"/>
    <w:rsid w:val="002A616D"/>
    <w:rsid w:val="002E7CA0"/>
    <w:rsid w:val="002F3C07"/>
    <w:rsid w:val="0030718B"/>
    <w:rsid w:val="00382E50"/>
    <w:rsid w:val="003D5279"/>
    <w:rsid w:val="00405C6C"/>
    <w:rsid w:val="0041397B"/>
    <w:rsid w:val="004579E7"/>
    <w:rsid w:val="00474F74"/>
    <w:rsid w:val="004878D9"/>
    <w:rsid w:val="00495EDD"/>
    <w:rsid w:val="004C0197"/>
    <w:rsid w:val="004D6456"/>
    <w:rsid w:val="005145B5"/>
    <w:rsid w:val="0054625B"/>
    <w:rsid w:val="00571254"/>
    <w:rsid w:val="0059076F"/>
    <w:rsid w:val="005E462B"/>
    <w:rsid w:val="00604561"/>
    <w:rsid w:val="007057C0"/>
    <w:rsid w:val="007118ED"/>
    <w:rsid w:val="0074072F"/>
    <w:rsid w:val="007477FE"/>
    <w:rsid w:val="00786FBA"/>
    <w:rsid w:val="007911CC"/>
    <w:rsid w:val="007D267A"/>
    <w:rsid w:val="00806E83"/>
    <w:rsid w:val="00840181"/>
    <w:rsid w:val="00857C6E"/>
    <w:rsid w:val="00866EF3"/>
    <w:rsid w:val="00895248"/>
    <w:rsid w:val="008B31C6"/>
    <w:rsid w:val="008B6413"/>
    <w:rsid w:val="008D4120"/>
    <w:rsid w:val="008F7C4E"/>
    <w:rsid w:val="0091743A"/>
    <w:rsid w:val="0093280D"/>
    <w:rsid w:val="009954B0"/>
    <w:rsid w:val="00A01BCA"/>
    <w:rsid w:val="00A34B21"/>
    <w:rsid w:val="00A5116B"/>
    <w:rsid w:val="00A84B5A"/>
    <w:rsid w:val="00A9388C"/>
    <w:rsid w:val="00AD7540"/>
    <w:rsid w:val="00B05659"/>
    <w:rsid w:val="00B2639F"/>
    <w:rsid w:val="00B3439A"/>
    <w:rsid w:val="00B668F2"/>
    <w:rsid w:val="00BB2027"/>
    <w:rsid w:val="00BF221B"/>
    <w:rsid w:val="00C0287E"/>
    <w:rsid w:val="00C136F7"/>
    <w:rsid w:val="00C14A5A"/>
    <w:rsid w:val="00C210A9"/>
    <w:rsid w:val="00C66CA0"/>
    <w:rsid w:val="00C92D10"/>
    <w:rsid w:val="00CA0312"/>
    <w:rsid w:val="00CC0B34"/>
    <w:rsid w:val="00CC26BF"/>
    <w:rsid w:val="00CF47A6"/>
    <w:rsid w:val="00CF6A10"/>
    <w:rsid w:val="00D15E58"/>
    <w:rsid w:val="00D51078"/>
    <w:rsid w:val="00D537C0"/>
    <w:rsid w:val="00D62A70"/>
    <w:rsid w:val="00D6603D"/>
    <w:rsid w:val="00D67AAD"/>
    <w:rsid w:val="00D91A58"/>
    <w:rsid w:val="00D95F32"/>
    <w:rsid w:val="00DA4C91"/>
    <w:rsid w:val="00DC6A70"/>
    <w:rsid w:val="00DF7993"/>
    <w:rsid w:val="00E02C49"/>
    <w:rsid w:val="00E16683"/>
    <w:rsid w:val="00E47387"/>
    <w:rsid w:val="00E50401"/>
    <w:rsid w:val="00EA0603"/>
    <w:rsid w:val="00F00D9B"/>
    <w:rsid w:val="00F22146"/>
    <w:rsid w:val="00F540B7"/>
    <w:rsid w:val="00F57617"/>
    <w:rsid w:val="00FA38AB"/>
    <w:rsid w:val="00FD1178"/>
    <w:rsid w:val="00FE29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7E"/>
    <w:rPr>
      <w:sz w:val="22"/>
      <w:szCs w:val="22"/>
      <w:lang w:eastAsia="en-US"/>
    </w:rPr>
  </w:style>
  <w:style w:type="paragraph" w:styleId="Titre1">
    <w:name w:val="heading 1"/>
    <w:basedOn w:val="Normal"/>
    <w:next w:val="Normal"/>
    <w:link w:val="Titre1Car"/>
    <w:uiPriority w:val="9"/>
    <w:qFormat/>
    <w:rsid w:val="00087418"/>
    <w:pPr>
      <w:keepNext/>
      <w:keepLines/>
      <w:spacing w:before="480"/>
      <w:outlineLvl w:val="0"/>
    </w:pPr>
    <w:rPr>
      <w:rFonts w:eastAsia="MS Gothic"/>
      <w:b/>
      <w:bCs/>
      <w:color w:val="345A8A"/>
      <w:sz w:val="32"/>
      <w:szCs w:val="32"/>
      <w:lang w:eastAsia="fr-FR"/>
    </w:rPr>
  </w:style>
  <w:style w:type="paragraph" w:styleId="Titre2">
    <w:name w:val="heading 2"/>
    <w:basedOn w:val="Normal"/>
    <w:next w:val="Normal"/>
    <w:link w:val="Titre2Car"/>
    <w:uiPriority w:val="9"/>
    <w:unhideWhenUsed/>
    <w:qFormat/>
    <w:rsid w:val="00087418"/>
    <w:pPr>
      <w:keepNext/>
      <w:keepLines/>
      <w:spacing w:before="200"/>
      <w:outlineLvl w:val="1"/>
    </w:pPr>
    <w:rPr>
      <w:rFonts w:eastAsia="MS Gothic"/>
      <w:b/>
      <w:bCs/>
      <w:color w:val="4F81BD"/>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CA0312"/>
    <w:rPr>
      <w:b/>
      <w:bCs/>
    </w:rPr>
  </w:style>
  <w:style w:type="paragraph" w:styleId="PrformatHTML">
    <w:name w:val="HTML Preformatted"/>
    <w:basedOn w:val="Normal"/>
    <w:link w:val="PrformatHTMLCar"/>
    <w:uiPriority w:val="99"/>
    <w:semiHidden/>
    <w:unhideWhenUsed/>
    <w:rsid w:val="00CA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CA0312"/>
    <w:rPr>
      <w:rFonts w:ascii="Courier New" w:eastAsia="Times New Roman" w:hAnsi="Courier New" w:cs="Courier New"/>
      <w:sz w:val="20"/>
      <w:szCs w:val="20"/>
      <w:lang w:eastAsia="fr-FR"/>
    </w:rPr>
  </w:style>
  <w:style w:type="character" w:customStyle="1" w:styleId="Titre1Car">
    <w:name w:val="Titre 1 Car"/>
    <w:link w:val="Titre1"/>
    <w:uiPriority w:val="9"/>
    <w:rsid w:val="00087418"/>
    <w:rPr>
      <w:rFonts w:eastAsia="MS Gothic"/>
      <w:b/>
      <w:bCs/>
      <w:color w:val="345A8A"/>
      <w:sz w:val="32"/>
      <w:szCs w:val="32"/>
    </w:rPr>
  </w:style>
  <w:style w:type="character" w:customStyle="1" w:styleId="Titre2Car">
    <w:name w:val="Titre 2 Car"/>
    <w:link w:val="Titre2"/>
    <w:uiPriority w:val="9"/>
    <w:rsid w:val="00087418"/>
    <w:rPr>
      <w:rFonts w:eastAsia="MS Gothic"/>
      <w:b/>
      <w:bCs/>
      <w:color w:val="4F81BD"/>
      <w:sz w:val="26"/>
      <w:szCs w:val="26"/>
    </w:rPr>
  </w:style>
  <w:style w:type="paragraph" w:styleId="NormalWeb">
    <w:name w:val="Normal (Web)"/>
    <w:basedOn w:val="Normal"/>
    <w:uiPriority w:val="99"/>
    <w:unhideWhenUsed/>
    <w:rsid w:val="00087418"/>
    <w:pPr>
      <w:spacing w:before="100" w:beforeAutospacing="1" w:after="100" w:afterAutospacing="1"/>
    </w:pPr>
    <w:rPr>
      <w:rFonts w:ascii="Times" w:eastAsia="MS Mincho" w:hAnsi="Times"/>
      <w:sz w:val="20"/>
      <w:szCs w:val="20"/>
      <w:lang w:eastAsia="fr-FR"/>
    </w:rPr>
  </w:style>
  <w:style w:type="paragraph" w:styleId="Titre">
    <w:name w:val="Title"/>
    <w:basedOn w:val="Normal"/>
    <w:next w:val="Normal"/>
    <w:link w:val="TitreCar"/>
    <w:uiPriority w:val="10"/>
    <w:qFormat/>
    <w:rsid w:val="00087418"/>
    <w:pPr>
      <w:pBdr>
        <w:bottom w:val="single" w:sz="8" w:space="4" w:color="4F81BD"/>
      </w:pBdr>
      <w:spacing w:after="300"/>
      <w:contextualSpacing/>
    </w:pPr>
    <w:rPr>
      <w:rFonts w:eastAsia="MS Gothic"/>
      <w:color w:val="17365D"/>
      <w:spacing w:val="5"/>
      <w:kern w:val="28"/>
      <w:sz w:val="52"/>
      <w:szCs w:val="52"/>
      <w:lang w:eastAsia="fr-FR"/>
    </w:rPr>
  </w:style>
  <w:style w:type="character" w:customStyle="1" w:styleId="TitreCar">
    <w:name w:val="Titre Car"/>
    <w:link w:val="Titre"/>
    <w:uiPriority w:val="10"/>
    <w:rsid w:val="00087418"/>
    <w:rPr>
      <w:rFonts w:eastAsia="MS Gothic"/>
      <w:color w:val="17365D"/>
      <w:spacing w:val="5"/>
      <w:kern w:val="28"/>
      <w:sz w:val="52"/>
      <w:szCs w:val="52"/>
    </w:rPr>
  </w:style>
  <w:style w:type="paragraph" w:styleId="Paragraphedeliste">
    <w:name w:val="List Paragraph"/>
    <w:basedOn w:val="Normal"/>
    <w:uiPriority w:val="34"/>
    <w:qFormat/>
    <w:rsid w:val="00087418"/>
    <w:pPr>
      <w:ind w:left="720"/>
      <w:contextualSpacing/>
    </w:pPr>
    <w:rPr>
      <w:rFonts w:ascii="Times New Roman" w:eastAsia="MS Mincho" w:hAnsi="Times New Roman"/>
      <w:sz w:val="24"/>
      <w:szCs w:val="24"/>
      <w:lang w:eastAsia="fr-FR"/>
    </w:rPr>
  </w:style>
  <w:style w:type="paragraph" w:styleId="Textedebulles">
    <w:name w:val="Balloon Text"/>
    <w:basedOn w:val="Normal"/>
    <w:link w:val="TextedebullesCar"/>
    <w:uiPriority w:val="99"/>
    <w:semiHidden/>
    <w:unhideWhenUsed/>
    <w:rsid w:val="00B668F2"/>
    <w:rPr>
      <w:rFonts w:ascii="Tahoma" w:hAnsi="Tahoma" w:cs="Tahoma"/>
      <w:sz w:val="16"/>
      <w:szCs w:val="16"/>
    </w:rPr>
  </w:style>
  <w:style w:type="character" w:customStyle="1" w:styleId="TextedebullesCar">
    <w:name w:val="Texte de bulles Car"/>
    <w:link w:val="Textedebulles"/>
    <w:uiPriority w:val="99"/>
    <w:semiHidden/>
    <w:rsid w:val="00B668F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7E"/>
    <w:rPr>
      <w:sz w:val="22"/>
      <w:szCs w:val="22"/>
      <w:lang w:eastAsia="en-US"/>
    </w:rPr>
  </w:style>
  <w:style w:type="paragraph" w:styleId="Titre1">
    <w:name w:val="heading 1"/>
    <w:basedOn w:val="Normal"/>
    <w:next w:val="Normal"/>
    <w:link w:val="Titre1Car"/>
    <w:uiPriority w:val="9"/>
    <w:qFormat/>
    <w:rsid w:val="00087418"/>
    <w:pPr>
      <w:keepNext/>
      <w:keepLines/>
      <w:spacing w:before="480"/>
      <w:outlineLvl w:val="0"/>
    </w:pPr>
    <w:rPr>
      <w:rFonts w:eastAsia="MS Gothic"/>
      <w:b/>
      <w:bCs/>
      <w:color w:val="345A8A"/>
      <w:sz w:val="32"/>
      <w:szCs w:val="32"/>
      <w:lang w:eastAsia="fr-FR"/>
    </w:rPr>
  </w:style>
  <w:style w:type="paragraph" w:styleId="Titre2">
    <w:name w:val="heading 2"/>
    <w:basedOn w:val="Normal"/>
    <w:next w:val="Normal"/>
    <w:link w:val="Titre2Car"/>
    <w:uiPriority w:val="9"/>
    <w:unhideWhenUsed/>
    <w:qFormat/>
    <w:rsid w:val="00087418"/>
    <w:pPr>
      <w:keepNext/>
      <w:keepLines/>
      <w:spacing w:before="200"/>
      <w:outlineLvl w:val="1"/>
    </w:pPr>
    <w:rPr>
      <w:rFonts w:eastAsia="MS Gothic"/>
      <w:b/>
      <w:bCs/>
      <w:color w:val="4F81BD"/>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CA0312"/>
    <w:rPr>
      <w:b/>
      <w:bCs/>
    </w:rPr>
  </w:style>
  <w:style w:type="paragraph" w:styleId="PrformatHTML">
    <w:name w:val="HTML Preformatted"/>
    <w:basedOn w:val="Normal"/>
    <w:link w:val="PrformatHTMLCar"/>
    <w:uiPriority w:val="99"/>
    <w:semiHidden/>
    <w:unhideWhenUsed/>
    <w:rsid w:val="00CA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CA0312"/>
    <w:rPr>
      <w:rFonts w:ascii="Courier New" w:eastAsia="Times New Roman" w:hAnsi="Courier New" w:cs="Courier New"/>
      <w:sz w:val="20"/>
      <w:szCs w:val="20"/>
      <w:lang w:eastAsia="fr-FR"/>
    </w:rPr>
  </w:style>
  <w:style w:type="character" w:customStyle="1" w:styleId="Titre1Car">
    <w:name w:val="Titre 1 Car"/>
    <w:link w:val="Titre1"/>
    <w:uiPriority w:val="9"/>
    <w:rsid w:val="00087418"/>
    <w:rPr>
      <w:rFonts w:eastAsia="MS Gothic"/>
      <w:b/>
      <w:bCs/>
      <w:color w:val="345A8A"/>
      <w:sz w:val="32"/>
      <w:szCs w:val="32"/>
    </w:rPr>
  </w:style>
  <w:style w:type="character" w:customStyle="1" w:styleId="Titre2Car">
    <w:name w:val="Titre 2 Car"/>
    <w:link w:val="Titre2"/>
    <w:uiPriority w:val="9"/>
    <w:rsid w:val="00087418"/>
    <w:rPr>
      <w:rFonts w:eastAsia="MS Gothic"/>
      <w:b/>
      <w:bCs/>
      <w:color w:val="4F81BD"/>
      <w:sz w:val="26"/>
      <w:szCs w:val="26"/>
    </w:rPr>
  </w:style>
  <w:style w:type="paragraph" w:styleId="NormalWeb">
    <w:name w:val="Normal (Web)"/>
    <w:basedOn w:val="Normal"/>
    <w:uiPriority w:val="99"/>
    <w:unhideWhenUsed/>
    <w:rsid w:val="00087418"/>
    <w:pPr>
      <w:spacing w:before="100" w:beforeAutospacing="1" w:after="100" w:afterAutospacing="1"/>
    </w:pPr>
    <w:rPr>
      <w:rFonts w:ascii="Times" w:eastAsia="MS Mincho" w:hAnsi="Times"/>
      <w:sz w:val="20"/>
      <w:szCs w:val="20"/>
      <w:lang w:eastAsia="fr-FR"/>
    </w:rPr>
  </w:style>
  <w:style w:type="paragraph" w:styleId="Titre">
    <w:name w:val="Title"/>
    <w:basedOn w:val="Normal"/>
    <w:next w:val="Normal"/>
    <w:link w:val="TitreCar"/>
    <w:uiPriority w:val="10"/>
    <w:qFormat/>
    <w:rsid w:val="00087418"/>
    <w:pPr>
      <w:pBdr>
        <w:bottom w:val="single" w:sz="8" w:space="4" w:color="4F81BD"/>
      </w:pBdr>
      <w:spacing w:after="300"/>
      <w:contextualSpacing/>
    </w:pPr>
    <w:rPr>
      <w:rFonts w:eastAsia="MS Gothic"/>
      <w:color w:val="17365D"/>
      <w:spacing w:val="5"/>
      <w:kern w:val="28"/>
      <w:sz w:val="52"/>
      <w:szCs w:val="52"/>
      <w:lang w:eastAsia="fr-FR"/>
    </w:rPr>
  </w:style>
  <w:style w:type="character" w:customStyle="1" w:styleId="TitreCar">
    <w:name w:val="Titre Car"/>
    <w:link w:val="Titre"/>
    <w:uiPriority w:val="10"/>
    <w:rsid w:val="00087418"/>
    <w:rPr>
      <w:rFonts w:eastAsia="MS Gothic"/>
      <w:color w:val="17365D"/>
      <w:spacing w:val="5"/>
      <w:kern w:val="28"/>
      <w:sz w:val="52"/>
      <w:szCs w:val="52"/>
    </w:rPr>
  </w:style>
  <w:style w:type="paragraph" w:styleId="Paragraphedeliste">
    <w:name w:val="List Paragraph"/>
    <w:basedOn w:val="Normal"/>
    <w:uiPriority w:val="34"/>
    <w:qFormat/>
    <w:rsid w:val="00087418"/>
    <w:pPr>
      <w:ind w:left="720"/>
      <w:contextualSpacing/>
    </w:pPr>
    <w:rPr>
      <w:rFonts w:ascii="Times New Roman" w:eastAsia="MS Mincho" w:hAnsi="Times New Roman"/>
      <w:sz w:val="24"/>
      <w:szCs w:val="24"/>
      <w:lang w:eastAsia="fr-FR"/>
    </w:rPr>
  </w:style>
  <w:style w:type="paragraph" w:styleId="Textedebulles">
    <w:name w:val="Balloon Text"/>
    <w:basedOn w:val="Normal"/>
    <w:link w:val="TextedebullesCar"/>
    <w:uiPriority w:val="99"/>
    <w:semiHidden/>
    <w:unhideWhenUsed/>
    <w:rsid w:val="00B668F2"/>
    <w:rPr>
      <w:rFonts w:ascii="Tahoma" w:hAnsi="Tahoma" w:cs="Tahoma"/>
      <w:sz w:val="16"/>
      <w:szCs w:val="16"/>
    </w:rPr>
  </w:style>
  <w:style w:type="character" w:customStyle="1" w:styleId="TextedebullesCar">
    <w:name w:val="Texte de bulles Car"/>
    <w:link w:val="Textedebulles"/>
    <w:uiPriority w:val="99"/>
    <w:semiHidden/>
    <w:rsid w:val="00B668F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9244">
      <w:bodyDiv w:val="1"/>
      <w:marLeft w:val="0"/>
      <w:marRight w:val="0"/>
      <w:marTop w:val="0"/>
      <w:marBottom w:val="0"/>
      <w:divBdr>
        <w:top w:val="none" w:sz="0" w:space="0" w:color="auto"/>
        <w:left w:val="none" w:sz="0" w:space="0" w:color="auto"/>
        <w:bottom w:val="none" w:sz="0" w:space="0" w:color="auto"/>
        <w:right w:val="none" w:sz="0" w:space="0" w:color="auto"/>
      </w:divBdr>
    </w:div>
    <w:div w:id="529417163">
      <w:bodyDiv w:val="1"/>
      <w:marLeft w:val="0"/>
      <w:marRight w:val="0"/>
      <w:marTop w:val="0"/>
      <w:marBottom w:val="0"/>
      <w:divBdr>
        <w:top w:val="none" w:sz="0" w:space="0" w:color="auto"/>
        <w:left w:val="none" w:sz="0" w:space="0" w:color="auto"/>
        <w:bottom w:val="none" w:sz="0" w:space="0" w:color="auto"/>
        <w:right w:val="none" w:sz="0" w:space="0" w:color="auto"/>
      </w:divBdr>
    </w:div>
    <w:div w:id="622808171">
      <w:bodyDiv w:val="1"/>
      <w:marLeft w:val="0"/>
      <w:marRight w:val="0"/>
      <w:marTop w:val="0"/>
      <w:marBottom w:val="0"/>
      <w:divBdr>
        <w:top w:val="none" w:sz="0" w:space="0" w:color="auto"/>
        <w:left w:val="none" w:sz="0" w:space="0" w:color="auto"/>
        <w:bottom w:val="none" w:sz="0" w:space="0" w:color="auto"/>
        <w:right w:val="none" w:sz="0" w:space="0" w:color="auto"/>
      </w:divBdr>
      <w:divsChild>
        <w:div w:id="463082535">
          <w:marLeft w:val="0"/>
          <w:marRight w:val="0"/>
          <w:marTop w:val="0"/>
          <w:marBottom w:val="0"/>
          <w:divBdr>
            <w:top w:val="none" w:sz="0" w:space="0" w:color="auto"/>
            <w:left w:val="none" w:sz="0" w:space="0" w:color="auto"/>
            <w:bottom w:val="none" w:sz="0" w:space="0" w:color="auto"/>
            <w:right w:val="none" w:sz="0" w:space="0" w:color="auto"/>
          </w:divBdr>
          <w:divsChild>
            <w:div w:id="1867714652">
              <w:marLeft w:val="0"/>
              <w:marRight w:val="0"/>
              <w:marTop w:val="0"/>
              <w:marBottom w:val="0"/>
              <w:divBdr>
                <w:top w:val="none" w:sz="0" w:space="0" w:color="auto"/>
                <w:left w:val="none" w:sz="0" w:space="0" w:color="auto"/>
                <w:bottom w:val="none" w:sz="0" w:space="0" w:color="auto"/>
                <w:right w:val="none" w:sz="0" w:space="0" w:color="auto"/>
              </w:divBdr>
              <w:divsChild>
                <w:div w:id="6816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3709">
      <w:bodyDiv w:val="1"/>
      <w:marLeft w:val="0"/>
      <w:marRight w:val="0"/>
      <w:marTop w:val="0"/>
      <w:marBottom w:val="0"/>
      <w:divBdr>
        <w:top w:val="none" w:sz="0" w:space="0" w:color="auto"/>
        <w:left w:val="none" w:sz="0" w:space="0" w:color="auto"/>
        <w:bottom w:val="none" w:sz="0" w:space="0" w:color="auto"/>
        <w:right w:val="none" w:sz="0" w:space="0" w:color="auto"/>
      </w:divBdr>
    </w:div>
    <w:div w:id="1721244247">
      <w:bodyDiv w:val="1"/>
      <w:marLeft w:val="0"/>
      <w:marRight w:val="0"/>
      <w:marTop w:val="0"/>
      <w:marBottom w:val="0"/>
      <w:divBdr>
        <w:top w:val="none" w:sz="0" w:space="0" w:color="auto"/>
        <w:left w:val="none" w:sz="0" w:space="0" w:color="auto"/>
        <w:bottom w:val="none" w:sz="0" w:space="0" w:color="auto"/>
        <w:right w:val="none" w:sz="0" w:space="0" w:color="auto"/>
      </w:divBdr>
    </w:div>
    <w:div w:id="20185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D77AF-A06B-4605-ADE5-26EC0850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818</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fsuoise</dc:creator>
  <cp:lastModifiedBy>SNUipp Oise</cp:lastModifiedBy>
  <cp:revision>8</cp:revision>
  <cp:lastPrinted>2014-04-08T14:56:00Z</cp:lastPrinted>
  <dcterms:created xsi:type="dcterms:W3CDTF">2016-02-09T14:22:00Z</dcterms:created>
  <dcterms:modified xsi:type="dcterms:W3CDTF">2016-02-12T10:06:00Z</dcterms:modified>
</cp:coreProperties>
</file>